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C" w:rsidRDefault="001123BC" w:rsidP="001123BC">
      <w:pPr>
        <w:jc w:val="center"/>
        <w:outlineLvl w:val="0"/>
        <w:rPr>
          <w:rFonts w:hint="cs"/>
          <w:b/>
          <w:bCs/>
          <w:sz w:val="32"/>
          <w:szCs w:val="32"/>
          <w:rtl/>
          <w:lang w:bidi="ar-IQ"/>
        </w:rPr>
      </w:pPr>
    </w:p>
    <w:p w:rsidR="001123BC" w:rsidRPr="001123BC" w:rsidRDefault="001123BC" w:rsidP="008C1917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</w:t>
      </w:r>
      <w:r w:rsidRPr="001123BC">
        <w:rPr>
          <w:rFonts w:hint="cs"/>
          <w:b/>
          <w:bCs/>
          <w:rtl/>
        </w:rPr>
        <w:t>جمهورية العراق</w:t>
      </w:r>
      <w:r>
        <w:rPr>
          <w:rFonts w:hint="cs"/>
          <w:b/>
          <w:bCs/>
          <w:rtl/>
        </w:rPr>
        <w:t xml:space="preserve">                                           </w:t>
      </w:r>
      <w:r w:rsidR="008C1917">
        <w:rPr>
          <w:rFonts w:hint="cs"/>
          <w:b/>
          <w:bCs/>
          <w:rtl/>
        </w:rPr>
        <w:t xml:space="preserve">                                                       </w:t>
      </w:r>
      <w:r>
        <w:rPr>
          <w:rFonts w:hint="cs"/>
          <w:b/>
          <w:bCs/>
          <w:rtl/>
        </w:rPr>
        <w:t xml:space="preserve">اسم الجامعة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ديالى</w:t>
      </w:r>
      <w:proofErr w:type="spellEnd"/>
    </w:p>
    <w:p w:rsidR="001123BC" w:rsidRPr="001123BC" w:rsidRDefault="001123BC" w:rsidP="008C1917">
      <w:pPr>
        <w:jc w:val="both"/>
        <w:outlineLvl w:val="0"/>
        <w:rPr>
          <w:b/>
          <w:bCs/>
          <w:rtl/>
        </w:rPr>
      </w:pPr>
      <w:r w:rsidRPr="001123BC">
        <w:rPr>
          <w:rFonts w:hint="cs"/>
          <w:b/>
          <w:bCs/>
          <w:rtl/>
        </w:rPr>
        <w:t>وزارة التعليم العالي والبحث العلمي</w:t>
      </w:r>
      <w:r>
        <w:rPr>
          <w:rFonts w:hint="cs"/>
          <w:b/>
          <w:bCs/>
          <w:rtl/>
        </w:rPr>
        <w:t xml:space="preserve">            </w:t>
      </w:r>
      <w:r w:rsidR="008C1917">
        <w:rPr>
          <w:rFonts w:hint="cs"/>
          <w:b/>
          <w:bCs/>
          <w:rtl/>
        </w:rPr>
        <w:t xml:space="preserve">                                                                          </w:t>
      </w:r>
      <w:r>
        <w:rPr>
          <w:rFonts w:hint="cs"/>
          <w:b/>
          <w:bCs/>
          <w:rtl/>
        </w:rPr>
        <w:t>اسم الكلية : القانون والعلوم السياسية</w:t>
      </w:r>
    </w:p>
    <w:p w:rsidR="001123BC" w:rsidRDefault="001123BC" w:rsidP="008C1917">
      <w:pPr>
        <w:jc w:val="both"/>
        <w:outlineLvl w:val="0"/>
        <w:rPr>
          <w:b/>
          <w:bCs/>
          <w:rtl/>
        </w:rPr>
      </w:pPr>
      <w:r w:rsidRPr="001123BC">
        <w:rPr>
          <w:rFonts w:hint="cs"/>
          <w:b/>
          <w:bCs/>
          <w:rtl/>
        </w:rPr>
        <w:t>جهاز الاشراف والتقويم العلمي</w:t>
      </w:r>
      <w:r>
        <w:rPr>
          <w:rFonts w:hint="cs"/>
          <w:b/>
          <w:bCs/>
          <w:rtl/>
        </w:rPr>
        <w:t xml:space="preserve">                 </w:t>
      </w:r>
      <w:r w:rsidR="008C1917">
        <w:rPr>
          <w:rFonts w:hint="cs"/>
          <w:b/>
          <w:bCs/>
          <w:rtl/>
        </w:rPr>
        <w:t xml:space="preserve">                                                                          </w:t>
      </w:r>
      <w:r>
        <w:rPr>
          <w:rFonts w:hint="cs"/>
          <w:b/>
          <w:bCs/>
          <w:rtl/>
        </w:rPr>
        <w:t>اسم القسم : القانون</w:t>
      </w:r>
    </w:p>
    <w:p w:rsidR="0045332D" w:rsidRDefault="008C1917" w:rsidP="0045332D">
      <w:pPr>
        <w:jc w:val="both"/>
        <w:outlineLvl w:val="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1123BC">
        <w:rPr>
          <w:rFonts w:hint="cs"/>
          <w:b/>
          <w:bCs/>
          <w:rtl/>
        </w:rPr>
        <w:t>اسم المحاضر :</w:t>
      </w:r>
      <w:r w:rsidR="0045332D">
        <w:rPr>
          <w:rFonts w:hint="cs"/>
          <w:b/>
          <w:bCs/>
          <w:rtl/>
        </w:rPr>
        <w:t>خليفة ابراهيم عودة التميمي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45332D">
        <w:rPr>
          <w:rFonts w:hint="cs"/>
          <w:b/>
          <w:bCs/>
          <w:rtl/>
        </w:rPr>
        <w:t xml:space="preserve">                                   </w:t>
      </w:r>
    </w:p>
    <w:p w:rsidR="001123BC" w:rsidRDefault="0045332D" w:rsidP="0045332D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1123BC">
        <w:rPr>
          <w:rFonts w:hint="cs"/>
          <w:b/>
          <w:bCs/>
          <w:rtl/>
        </w:rPr>
        <w:t xml:space="preserve">اللقب العلمي </w:t>
      </w:r>
      <w:proofErr w:type="spellStart"/>
      <w:r w:rsidR="001123BC">
        <w:rPr>
          <w:rFonts w:hint="cs"/>
          <w:b/>
          <w:bCs/>
          <w:rtl/>
        </w:rPr>
        <w:t>:</w:t>
      </w:r>
      <w:proofErr w:type="spellEnd"/>
      <w:r w:rsidR="001123B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استاذ مساعد دكتور</w:t>
      </w:r>
    </w:p>
    <w:p w:rsidR="008C1917" w:rsidRDefault="008C1917" w:rsidP="0045332D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1123BC">
        <w:rPr>
          <w:rFonts w:hint="cs"/>
          <w:b/>
          <w:bCs/>
          <w:rtl/>
        </w:rPr>
        <w:t xml:space="preserve">المؤهل العلمي </w:t>
      </w:r>
      <w:proofErr w:type="spellStart"/>
      <w:r w:rsidR="001123BC">
        <w:rPr>
          <w:rFonts w:hint="cs"/>
          <w:b/>
          <w:bCs/>
          <w:rtl/>
        </w:rPr>
        <w:t>:</w:t>
      </w:r>
      <w:proofErr w:type="spellEnd"/>
      <w:r w:rsidR="001123BC">
        <w:rPr>
          <w:rFonts w:hint="cs"/>
          <w:b/>
          <w:bCs/>
          <w:rtl/>
        </w:rPr>
        <w:t xml:space="preserve"> </w:t>
      </w:r>
      <w:r w:rsidR="0045332D">
        <w:rPr>
          <w:rFonts w:hint="cs"/>
          <w:b/>
          <w:bCs/>
          <w:rtl/>
        </w:rPr>
        <w:t xml:space="preserve">دكتوراه علم الاجتماع </w:t>
      </w:r>
    </w:p>
    <w:p w:rsidR="001123BC" w:rsidRDefault="008C1917" w:rsidP="008C1917">
      <w:pPr>
        <w:jc w:val="both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1123BC">
        <w:rPr>
          <w:rFonts w:hint="cs"/>
          <w:b/>
          <w:bCs/>
          <w:rtl/>
        </w:rPr>
        <w:t>مكان العمل :</w:t>
      </w:r>
      <w:r>
        <w:rPr>
          <w:rFonts w:hint="cs"/>
          <w:b/>
          <w:bCs/>
          <w:rtl/>
        </w:rPr>
        <w:t xml:space="preserve"> كلية القانون والعلوم السياسية</w:t>
      </w:r>
    </w:p>
    <w:p w:rsidR="001123BC" w:rsidRDefault="001123BC" w:rsidP="001123BC">
      <w:pPr>
        <w:jc w:val="both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_____________________________________________________________________</w:t>
      </w:r>
    </w:p>
    <w:p w:rsidR="008C1917" w:rsidRDefault="008C1917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1123BC" w:rsidRDefault="001123BC" w:rsidP="008C1917">
      <w:pPr>
        <w:jc w:val="center"/>
        <w:outlineLvl w:val="0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((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06691E">
        <w:rPr>
          <w:rFonts w:hint="cs"/>
          <w:b/>
          <w:bCs/>
          <w:sz w:val="32"/>
          <w:szCs w:val="32"/>
          <w:rtl/>
        </w:rPr>
        <w:t>استمارة</w:t>
      </w:r>
      <w:r>
        <w:rPr>
          <w:rFonts w:hint="cs"/>
          <w:b/>
          <w:bCs/>
          <w:sz w:val="32"/>
          <w:szCs w:val="32"/>
          <w:rtl/>
        </w:rPr>
        <w:t xml:space="preserve"> الخطة التدريسية السنوية </w:t>
      </w:r>
      <w:proofErr w:type="spellStart"/>
      <w:r>
        <w:rPr>
          <w:rFonts w:hint="cs"/>
          <w:b/>
          <w:bCs/>
          <w:sz w:val="32"/>
          <w:szCs w:val="32"/>
          <w:rtl/>
        </w:rPr>
        <w:t>))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2296"/>
      </w:tblGrid>
      <w:tr w:rsidR="001123BC" w:rsidTr="001123BC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Default="0045332D">
            <w:pPr>
              <w:spacing w:line="276" w:lineRule="auto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 0 م 0 د 0 خليفة ابراهيم عودة التميمي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اسم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1123BC" w:rsidTr="001123BC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687A45" w:rsidRDefault="0045332D">
            <w:pPr>
              <w:bidi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dean- dr0khalifa@yaho.com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hint="cs"/>
                <w:b/>
                <w:bCs/>
                <w:rtl/>
                <w:lang w:bidi="ar-IQ"/>
              </w:rPr>
              <w:t>:</w:t>
            </w:r>
          </w:p>
        </w:tc>
      </w:tr>
      <w:tr w:rsidR="001123BC" w:rsidTr="001123BC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Default="0045332D" w:rsidP="0006691E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ourier New" w:hAnsi="Courier New" w:cs="Courier New" w:hint="cs"/>
                <w:b/>
                <w:bCs/>
                <w:sz w:val="26"/>
                <w:szCs w:val="26"/>
                <w:rtl/>
                <w:lang w:bidi="ar-IQ"/>
              </w:rPr>
              <w:t>الاجرام والعقاب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1123BC" w:rsidTr="001123BC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Default="0045332D" w:rsidP="0006691E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  <w:r>
              <w:rPr>
                <w:rFonts w:ascii="Courier New" w:hAnsi="Courier New" w:cs="Courier New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 xml:space="preserve">2 </w:t>
            </w:r>
            <w:r w:rsidR="0006691E">
              <w:rPr>
                <w:rFonts w:ascii="Courier New" w:hAnsi="Courier New" w:cs="Courier New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 xml:space="preserve">ساعة اسبوعيا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مقرر</w:t>
            </w:r>
            <w:r w:rsidR="0006691E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الفصل:</w:t>
            </w:r>
          </w:p>
        </w:tc>
      </w:tr>
      <w:tr w:rsidR="001123BC" w:rsidTr="001123BC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4A" w:rsidRDefault="00F9234A">
            <w:pPr>
              <w:spacing w:line="276" w:lineRule="auto"/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  <w:t>ان الهدف من دراسة علم الاجرام هو بيان مفهومه والسلوك الاجرامي والنظريات والمدارس المتصارعة في تفسيره بما فيها الشريعة الاسلامية</w:t>
            </w:r>
          </w:p>
          <w:p w:rsidR="001123BC" w:rsidRPr="00F9234A" w:rsidRDefault="00F9234A">
            <w:pPr>
              <w:spacing w:line="276" w:lineRule="auto"/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  <w:t>اماالهدف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  <w:t xml:space="preserve"> من دراسة علم العقاب هو </w:t>
            </w:r>
            <w:r w:rsidR="0045332D" w:rsidRPr="00F9234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  <w:t>بيان المبادئ التي يتوقف عليها تحديد العقوبات وتطبيقها وتنفيذها ثم بيان الهدف من العقوبات في مراحلها الثلاثة المتعاقبة قانونيا وقضائيا وتنفيذيا</w:t>
            </w:r>
            <w:r w:rsidRPr="00F9234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IQ"/>
              </w:rPr>
              <w:t xml:space="preserve"> ووسائل تحقيق الهدف </w:t>
            </w:r>
          </w:p>
          <w:p w:rsidR="00F9234A" w:rsidRPr="00687A45" w:rsidRDefault="00F9234A">
            <w:pPr>
              <w:spacing w:line="276" w:lineRule="auto"/>
              <w:rPr>
                <w:rFonts w:ascii="Courier New" w:hAnsi="Courier New" w:cs="Courier New"/>
                <w:b/>
                <w:bCs/>
                <w:lang w:bidi="ar-IQ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1123BC" w:rsidTr="001123BC">
        <w:trPr>
          <w:trHeight w:val="144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E" w:rsidRDefault="00F9234A" w:rsidP="00760713">
            <w:pPr>
              <w:spacing w:line="276" w:lineRule="auto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فيما يخص علم الاجرام تضمن الفصل الاول اساليب البحث العلمي للسلوك الاجرامي وتضمن الفصل الثاني الاتجاهات العلمية في تفسير السلوك الاجرامي والفصل الثالث عوامل السلوك الاجرامي </w:t>
            </w:r>
            <w:r w:rsidR="0076071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بعد ان سبقها فصل تمهيدي للتعريف بعلم الاجرام</w:t>
            </w:r>
          </w:p>
          <w:p w:rsidR="00F9234A" w:rsidRDefault="00F9234A" w:rsidP="00F9234A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اما علم العقاب تضمن الفصل الاول المؤسسات العقابية والفص الثاني دور المؤسسات العقابية في تنفيذ الجزاءات الجنائية والفصل الثالث اساليب المعاملة العقابية بعد ان سبقها فصل تمهيدي للتعريف بعلم العقاب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التفاصيل </w:t>
            </w: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الاساسيه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للمادة:</w:t>
            </w:r>
          </w:p>
        </w:tc>
      </w:tr>
      <w:tr w:rsidR="001123BC" w:rsidTr="001123BC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Default="00760713">
            <w:pPr>
              <w:spacing w:line="276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علم الاجرام المعاصر </w:t>
            </w:r>
            <w:proofErr w:type="spellStart"/>
            <w:r>
              <w:rPr>
                <w:b/>
                <w:bCs/>
                <w:rtl/>
                <w:lang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تأليف الاستاذ الدكتور جمال ابراهيم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الحيدري</w:t>
            </w:r>
            <w:proofErr w:type="spellEnd"/>
          </w:p>
          <w:p w:rsidR="00760713" w:rsidRDefault="00760713" w:rsidP="00760713">
            <w:pPr>
              <w:spacing w:line="276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علم العقاب الحديث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تأليف الاستاذ الدكتور جمال ابراهيم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الحيدري</w:t>
            </w:r>
            <w:proofErr w:type="spellEnd"/>
          </w:p>
          <w:p w:rsidR="00760713" w:rsidRPr="00687A45" w:rsidRDefault="00760713">
            <w:pPr>
              <w:spacing w:line="276" w:lineRule="auto"/>
              <w:rPr>
                <w:b/>
                <w:bCs/>
                <w:lang w:bidi="ar-IQ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1123BC" w:rsidTr="001123BC">
        <w:trPr>
          <w:trHeight w:val="10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760713" w:rsidRDefault="00760713" w:rsidP="00760713">
            <w:pPr>
              <w:spacing w:line="276" w:lineRule="auto"/>
              <w:ind w:left="360"/>
              <w:rPr>
                <w:rFonts w:ascii="Courier New" w:hAnsi="Courier New" w:cs="Courier New"/>
                <w:b/>
                <w:bCs/>
                <w:rtl/>
                <w:lang w:bidi="ar-IQ"/>
              </w:rPr>
            </w:pPr>
            <w:r w:rsidRPr="00760713">
              <w:rPr>
                <w:rFonts w:hint="cs"/>
                <w:b/>
                <w:bCs/>
                <w:rtl/>
              </w:rPr>
              <w:t xml:space="preserve">قانون اصول المحاكمات العراقي </w:t>
            </w:r>
            <w:r w:rsidR="001123BC" w:rsidRPr="00760713">
              <w:rPr>
                <w:b/>
                <w:bCs/>
                <w:rtl/>
              </w:rPr>
              <w:t xml:space="preserve"> </w:t>
            </w:r>
            <w:r w:rsidR="001123BC" w:rsidRPr="00760713">
              <w:rPr>
                <w:rFonts w:ascii="Courier New" w:hAnsi="Courier New" w:cs="Courier New"/>
                <w:b/>
                <w:bCs/>
                <w:color w:val="333399"/>
                <w:rtl/>
              </w:rPr>
              <w:t xml:space="preserve"> </w:t>
            </w:r>
          </w:p>
          <w:p w:rsidR="00687A45" w:rsidRPr="00687A45" w:rsidRDefault="00687A45" w:rsidP="00687A45">
            <w:pPr>
              <w:spacing w:line="276" w:lineRule="auto"/>
              <w:ind w:left="360"/>
              <w:rPr>
                <w:rFonts w:ascii="Courier New" w:hAnsi="Courier New" w:cs="Courier New"/>
                <w:b/>
                <w:bCs/>
                <w:rtl/>
                <w:lang w:bidi="ar-IQ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1123BC" w:rsidTr="001123BC">
        <w:trPr>
          <w:trHeight w:val="8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9"/>
              <w:gridCol w:w="1559"/>
              <w:gridCol w:w="1559"/>
              <w:gridCol w:w="1560"/>
              <w:gridCol w:w="1560"/>
            </w:tblGrid>
            <w:tr w:rsidR="001123BC">
              <w:trPr>
                <w:trHeight w:val="350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23BC" w:rsidRDefault="001123BC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23BC" w:rsidRDefault="001123BC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bidi="ar-SY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المختبرات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23BC" w:rsidRDefault="001123BC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bidi="ar-SY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الفصل الثاني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23BC" w:rsidRDefault="001123BC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bidi="ar-SY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الفصل الاول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123BC" w:rsidRDefault="001123BC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الفصل الدراسي</w:t>
                  </w:r>
                </w:p>
              </w:tc>
            </w:tr>
            <w:tr w:rsidR="001123BC">
              <w:trPr>
                <w:trHeight w:val="602"/>
              </w:trPr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123BC" w:rsidRPr="00687A45" w:rsidRDefault="001123BC" w:rsidP="00687A45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lang w:bidi="ar-IQ"/>
                    </w:rPr>
                  </w:pPr>
                  <w:r w:rsidRPr="00687A45">
                    <w:rPr>
                      <w:rFonts w:hint="cs"/>
                      <w:b/>
                      <w:bCs/>
                      <w:rtl/>
                      <w:lang w:bidi="ar-IQ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123BC" w:rsidRPr="00687A45" w:rsidRDefault="001123BC" w:rsidP="00687A45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87A45">
                    <w:rPr>
                      <w:rFonts w:hint="cs"/>
                      <w:b/>
                      <w:bCs/>
                      <w:rtl/>
                      <w:lang w:bidi="ar-IQ"/>
                    </w:rPr>
                    <w:t>/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123BC" w:rsidRPr="00687A45" w:rsidRDefault="001123BC" w:rsidP="00687A45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lang w:bidi="ar-SY"/>
                    </w:rPr>
                  </w:pPr>
                  <w:r w:rsidRPr="00687A45">
                    <w:rPr>
                      <w:rFonts w:hint="cs"/>
                      <w:b/>
                      <w:bCs/>
                      <w:rtl/>
                      <w:lang w:bidi="ar-IQ"/>
                    </w:rPr>
                    <w:t>20%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123BC" w:rsidRPr="00687A45" w:rsidRDefault="001123BC" w:rsidP="00687A45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lang w:bidi="ar-SY"/>
                    </w:rPr>
                  </w:pPr>
                  <w:r w:rsidRPr="00687A45">
                    <w:rPr>
                      <w:rFonts w:hint="cs"/>
                      <w:b/>
                      <w:bCs/>
                      <w:rtl/>
                      <w:lang w:bidi="ar-SY"/>
                    </w:rPr>
                    <w:t>20%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123BC" w:rsidRPr="00687A45" w:rsidRDefault="001123BC" w:rsidP="00687A45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687A45">
                    <w:rPr>
                      <w:rFonts w:hint="cs"/>
                      <w:b/>
                      <w:bCs/>
                      <w:rtl/>
                    </w:rPr>
                    <w:t>الأول</w:t>
                  </w:r>
                </w:p>
                <w:p w:rsidR="001123BC" w:rsidRPr="00687A45" w:rsidRDefault="001123BC" w:rsidP="00687A45">
                  <w:pPr>
                    <w:spacing w:line="276" w:lineRule="auto"/>
                    <w:jc w:val="center"/>
                    <w:rPr>
                      <w:b/>
                      <w:bCs/>
                      <w:lang w:bidi="ar-SY"/>
                    </w:rPr>
                  </w:pPr>
                  <w:r w:rsidRPr="00687A45">
                    <w:rPr>
                      <w:rFonts w:hint="cs"/>
                      <w:b/>
                      <w:bCs/>
                      <w:rtl/>
                      <w:lang w:bidi="ar-SY"/>
                    </w:rPr>
                    <w:t>الثاني</w:t>
                  </w:r>
                </w:p>
              </w:tc>
            </w:tr>
          </w:tbl>
          <w:p w:rsidR="001123BC" w:rsidRDefault="001123BC">
            <w:pPr>
              <w:bidi w:val="0"/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1123BC" w:rsidTr="001123BC">
        <w:trPr>
          <w:trHeight w:val="133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687A45" w:rsidRDefault="001123BC" w:rsidP="00687A45">
            <w:pPr>
              <w:spacing w:line="276" w:lineRule="auto"/>
              <w:jc w:val="both"/>
              <w:rPr>
                <w:b/>
                <w:bCs/>
                <w:rtl/>
                <w:lang w:bidi="ar-IQ"/>
              </w:rPr>
            </w:pPr>
            <w:r w:rsidRPr="00687A45">
              <w:rPr>
                <w:rFonts w:hint="cs"/>
                <w:b/>
                <w:bCs/>
                <w:rtl/>
                <w:lang w:bidi="ar-IQ"/>
              </w:rPr>
              <w:t>مصادر خارجية اخرى:</w:t>
            </w:r>
          </w:p>
          <w:p w:rsidR="001123BC" w:rsidRDefault="00687A45" w:rsidP="00760713">
            <w:pPr>
              <w:spacing w:line="276" w:lineRule="auto"/>
              <w:jc w:val="both"/>
              <w:rPr>
                <w:rtl/>
                <w:lang w:bidi="ar-IQ"/>
              </w:rPr>
            </w:pPr>
            <w:r w:rsidRPr="00687A45">
              <w:rPr>
                <w:rFonts w:hint="cs"/>
                <w:b/>
                <w:bCs/>
                <w:rtl/>
                <w:lang w:bidi="ar-IQ"/>
              </w:rPr>
              <w:t xml:space="preserve">مواقع الانترنيت بما تنشره من </w:t>
            </w:r>
            <w:r w:rsidR="0045332D" w:rsidRPr="0045332D">
              <w:rPr>
                <w:rFonts w:hint="cs"/>
                <w:b/>
                <w:bCs/>
                <w:rtl/>
                <w:lang w:bidi="ar-IQ"/>
              </w:rPr>
              <w:t xml:space="preserve">مواضيع تتعلق </w:t>
            </w:r>
            <w:r w:rsidR="00760713">
              <w:rPr>
                <w:rFonts w:hint="cs"/>
                <w:b/>
                <w:bCs/>
                <w:rtl/>
                <w:lang w:bidi="ar-IQ"/>
              </w:rPr>
              <w:t>ب</w:t>
            </w:r>
            <w:r w:rsidR="0045332D" w:rsidRPr="0045332D">
              <w:rPr>
                <w:rFonts w:hint="cs"/>
                <w:b/>
                <w:bCs/>
                <w:rtl/>
                <w:lang w:bidi="ar-IQ"/>
              </w:rPr>
              <w:t xml:space="preserve">الاجرام </w:t>
            </w:r>
            <w:r w:rsidR="0045332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45332D" w:rsidRPr="0045332D">
              <w:rPr>
                <w:rFonts w:hint="cs"/>
                <w:b/>
                <w:bCs/>
                <w:rtl/>
                <w:lang w:bidi="ar-IQ"/>
              </w:rPr>
              <w:t>والعقاب</w:t>
            </w:r>
            <w:r w:rsidR="0045332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معلومات اضافية</w:t>
            </w:r>
            <w:r>
              <w:rPr>
                <w:rFonts w:hint="cs"/>
                <w:b/>
                <w:bCs/>
                <w:rtl/>
                <w:lang w:bidi="ar-IQ"/>
              </w:rPr>
              <w:t>:</w:t>
            </w:r>
          </w:p>
        </w:tc>
      </w:tr>
    </w:tbl>
    <w:p w:rsidR="001123BC" w:rsidRDefault="001123BC" w:rsidP="001123BC">
      <w:pPr>
        <w:bidi w:val="0"/>
        <w:jc w:val="center"/>
        <w:rPr>
          <w:lang w:bidi="ar-SY"/>
        </w:rPr>
      </w:pPr>
    </w:p>
    <w:p w:rsidR="001123BC" w:rsidRDefault="001123BC" w:rsidP="001123BC">
      <w:pPr>
        <w:bidi w:val="0"/>
        <w:jc w:val="center"/>
        <w:rPr>
          <w:rtl/>
          <w:lang w:bidi="ar-SY"/>
        </w:rPr>
      </w:pPr>
    </w:p>
    <w:p w:rsidR="001123BC" w:rsidRDefault="001123BC" w:rsidP="001123BC">
      <w:pPr>
        <w:bidi w:val="0"/>
        <w:jc w:val="center"/>
        <w:rPr>
          <w:rtl/>
          <w:lang w:bidi="ar-SY"/>
        </w:rPr>
      </w:pP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</w:rPr>
      </w:pPr>
    </w:p>
    <w:p w:rsidR="00AB3E59" w:rsidRDefault="008C1917" w:rsidP="008C1917">
      <w:pPr>
        <w:jc w:val="both"/>
        <w:outlineLvl w:val="0"/>
        <w:rPr>
          <w:b/>
          <w:bCs/>
          <w:sz w:val="22"/>
          <w:szCs w:val="22"/>
          <w:rtl/>
        </w:rPr>
      </w:pPr>
      <w:r w:rsidRPr="001D08E8">
        <w:rPr>
          <w:rFonts w:hint="cs"/>
          <w:b/>
          <w:bCs/>
          <w:sz w:val="22"/>
          <w:szCs w:val="22"/>
          <w:rtl/>
        </w:rPr>
        <w:t xml:space="preserve">         </w:t>
      </w:r>
    </w:p>
    <w:p w:rsidR="00AB3E59" w:rsidRDefault="00AB3E59" w:rsidP="008C1917">
      <w:pPr>
        <w:jc w:val="both"/>
        <w:outlineLvl w:val="0"/>
        <w:rPr>
          <w:b/>
          <w:bCs/>
          <w:sz w:val="22"/>
          <w:szCs w:val="22"/>
          <w:rtl/>
        </w:rPr>
      </w:pPr>
    </w:p>
    <w:p w:rsidR="008C1917" w:rsidRPr="001D08E8" w:rsidRDefault="00AB3E59" w:rsidP="008C1917">
      <w:pPr>
        <w:jc w:val="both"/>
        <w:outlineLvl w:val="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</w:t>
      </w:r>
      <w:r w:rsidR="008C1917" w:rsidRPr="001D08E8">
        <w:rPr>
          <w:rFonts w:hint="cs"/>
          <w:b/>
          <w:bCs/>
          <w:sz w:val="22"/>
          <w:szCs w:val="22"/>
          <w:rtl/>
        </w:rPr>
        <w:t xml:space="preserve">  جمهورية العراق       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</w:t>
      </w:r>
      <w:r w:rsidR="008C1917" w:rsidRPr="001D08E8">
        <w:rPr>
          <w:rFonts w:hint="cs"/>
          <w:b/>
          <w:bCs/>
          <w:sz w:val="22"/>
          <w:szCs w:val="22"/>
          <w:rtl/>
        </w:rPr>
        <w:t xml:space="preserve">اسم الجامعة </w:t>
      </w:r>
      <w:proofErr w:type="spellStart"/>
      <w:r w:rsidR="008C1917" w:rsidRPr="001D08E8">
        <w:rPr>
          <w:rFonts w:hint="cs"/>
          <w:b/>
          <w:bCs/>
          <w:sz w:val="22"/>
          <w:szCs w:val="22"/>
          <w:rtl/>
        </w:rPr>
        <w:t>:</w:t>
      </w:r>
      <w:proofErr w:type="spellEnd"/>
      <w:r w:rsidR="008C1917" w:rsidRPr="001D08E8"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 w:rsidR="008C1917" w:rsidRPr="001D08E8">
        <w:rPr>
          <w:rFonts w:hint="cs"/>
          <w:b/>
          <w:bCs/>
          <w:sz w:val="22"/>
          <w:szCs w:val="22"/>
          <w:rtl/>
        </w:rPr>
        <w:t>ديالى</w:t>
      </w:r>
      <w:proofErr w:type="spellEnd"/>
    </w:p>
    <w:p w:rsidR="008C1917" w:rsidRPr="001D08E8" w:rsidRDefault="008C1917" w:rsidP="008C1917">
      <w:pPr>
        <w:jc w:val="both"/>
        <w:outlineLvl w:val="0"/>
        <w:rPr>
          <w:b/>
          <w:bCs/>
          <w:sz w:val="22"/>
          <w:szCs w:val="22"/>
          <w:rtl/>
        </w:rPr>
      </w:pPr>
      <w:r w:rsidRPr="001D08E8">
        <w:rPr>
          <w:rFonts w:hint="cs"/>
          <w:b/>
          <w:bCs/>
          <w:sz w:val="22"/>
          <w:szCs w:val="22"/>
          <w:rtl/>
        </w:rPr>
        <w:t xml:space="preserve">وزارة التعليم العالي والبحث العلمي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</w:t>
      </w:r>
      <w:r w:rsidRPr="001D08E8">
        <w:rPr>
          <w:rFonts w:hint="cs"/>
          <w:b/>
          <w:bCs/>
          <w:sz w:val="22"/>
          <w:szCs w:val="22"/>
          <w:rtl/>
        </w:rPr>
        <w:t xml:space="preserve">اسم الكلية </w:t>
      </w:r>
      <w:proofErr w:type="spellStart"/>
      <w:r w:rsidRPr="001D08E8">
        <w:rPr>
          <w:rFonts w:hint="cs"/>
          <w:b/>
          <w:bCs/>
          <w:sz w:val="22"/>
          <w:szCs w:val="22"/>
          <w:rtl/>
        </w:rPr>
        <w:t>:</w:t>
      </w:r>
      <w:proofErr w:type="spellEnd"/>
      <w:r w:rsidRPr="001D08E8">
        <w:rPr>
          <w:rFonts w:hint="cs"/>
          <w:b/>
          <w:bCs/>
          <w:sz w:val="22"/>
          <w:szCs w:val="22"/>
          <w:rtl/>
        </w:rPr>
        <w:t xml:space="preserve"> القانون والعلوم السياسية</w:t>
      </w:r>
    </w:p>
    <w:p w:rsidR="008C1917" w:rsidRPr="001D08E8" w:rsidRDefault="008C1917" w:rsidP="008C1917">
      <w:pPr>
        <w:jc w:val="both"/>
        <w:outlineLvl w:val="0"/>
        <w:rPr>
          <w:b/>
          <w:bCs/>
          <w:sz w:val="22"/>
          <w:szCs w:val="22"/>
          <w:rtl/>
        </w:rPr>
      </w:pPr>
      <w:r w:rsidRPr="001D08E8">
        <w:rPr>
          <w:rFonts w:hint="cs"/>
          <w:b/>
          <w:bCs/>
          <w:sz w:val="22"/>
          <w:szCs w:val="22"/>
          <w:rtl/>
        </w:rPr>
        <w:t xml:space="preserve">جهاز الاشراف والتقويم العلمي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</w:t>
      </w:r>
      <w:r w:rsidRPr="001D08E8">
        <w:rPr>
          <w:rFonts w:hint="cs"/>
          <w:b/>
          <w:bCs/>
          <w:sz w:val="22"/>
          <w:szCs w:val="22"/>
          <w:rtl/>
        </w:rPr>
        <w:t xml:space="preserve">اسم القسم </w:t>
      </w:r>
      <w:proofErr w:type="spellStart"/>
      <w:r w:rsidRPr="001D08E8">
        <w:rPr>
          <w:rFonts w:hint="cs"/>
          <w:b/>
          <w:bCs/>
          <w:sz w:val="22"/>
          <w:szCs w:val="22"/>
          <w:rtl/>
        </w:rPr>
        <w:t>:</w:t>
      </w:r>
      <w:proofErr w:type="spellEnd"/>
      <w:r w:rsidRPr="001D08E8">
        <w:rPr>
          <w:rFonts w:hint="cs"/>
          <w:b/>
          <w:bCs/>
          <w:sz w:val="22"/>
          <w:szCs w:val="22"/>
          <w:rtl/>
        </w:rPr>
        <w:t xml:space="preserve"> القانون</w:t>
      </w:r>
    </w:p>
    <w:p w:rsidR="0004382E" w:rsidRDefault="008C1917" w:rsidP="0004382E">
      <w:pPr>
        <w:jc w:val="both"/>
        <w:outlineLvl w:val="0"/>
        <w:rPr>
          <w:rFonts w:hint="cs"/>
          <w:b/>
          <w:bCs/>
          <w:sz w:val="22"/>
          <w:szCs w:val="22"/>
          <w:rtl/>
        </w:rPr>
      </w:pPr>
      <w:r w:rsidRPr="001D08E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                                </w:t>
      </w:r>
      <w:r w:rsidRPr="001D08E8">
        <w:rPr>
          <w:rFonts w:hint="cs"/>
          <w:b/>
          <w:bCs/>
          <w:sz w:val="22"/>
          <w:szCs w:val="22"/>
          <w:rtl/>
        </w:rPr>
        <w:t>اسم المحاضر :</w:t>
      </w:r>
      <w:r w:rsidR="0004382E">
        <w:rPr>
          <w:rFonts w:hint="cs"/>
          <w:b/>
          <w:bCs/>
          <w:sz w:val="22"/>
          <w:szCs w:val="22"/>
          <w:rtl/>
        </w:rPr>
        <w:t>خليفة ابراهيم عودة</w:t>
      </w:r>
      <w:r w:rsidRPr="001D08E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                           </w:t>
      </w:r>
    </w:p>
    <w:p w:rsidR="008C1917" w:rsidRPr="001D08E8" w:rsidRDefault="0004382E" w:rsidP="0004382E">
      <w:pPr>
        <w:jc w:val="both"/>
        <w:outlineLvl w:val="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</w:t>
      </w:r>
      <w:r w:rsidR="008C1917" w:rsidRPr="001D08E8">
        <w:rPr>
          <w:rFonts w:hint="cs"/>
          <w:b/>
          <w:bCs/>
          <w:sz w:val="22"/>
          <w:szCs w:val="22"/>
          <w:rtl/>
        </w:rPr>
        <w:t xml:space="preserve">اللقب العلمي </w:t>
      </w:r>
      <w:proofErr w:type="spellStart"/>
      <w:r w:rsidR="008C1917" w:rsidRPr="001D08E8">
        <w:rPr>
          <w:rFonts w:hint="cs"/>
          <w:b/>
          <w:bCs/>
          <w:sz w:val="22"/>
          <w:szCs w:val="22"/>
          <w:rtl/>
        </w:rPr>
        <w:t>:</w:t>
      </w:r>
      <w:proofErr w:type="spellEnd"/>
      <w:r w:rsidR="008C1917" w:rsidRPr="001D08E8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استاذ مساعد </w:t>
      </w:r>
      <w:r w:rsidR="0045332D">
        <w:rPr>
          <w:rFonts w:hint="cs"/>
          <w:b/>
          <w:bCs/>
          <w:sz w:val="22"/>
          <w:szCs w:val="22"/>
          <w:rtl/>
        </w:rPr>
        <w:t>دكتور</w:t>
      </w:r>
    </w:p>
    <w:p w:rsidR="008C1917" w:rsidRPr="001D08E8" w:rsidRDefault="008C1917" w:rsidP="0004382E">
      <w:pPr>
        <w:jc w:val="both"/>
        <w:outlineLvl w:val="0"/>
        <w:rPr>
          <w:b/>
          <w:bCs/>
          <w:sz w:val="22"/>
          <w:szCs w:val="22"/>
          <w:rtl/>
        </w:rPr>
      </w:pPr>
      <w:r w:rsidRPr="001D08E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</w:t>
      </w:r>
      <w:r w:rsidRPr="001D08E8">
        <w:rPr>
          <w:rFonts w:hint="cs"/>
          <w:b/>
          <w:bCs/>
          <w:sz w:val="22"/>
          <w:szCs w:val="22"/>
          <w:rtl/>
        </w:rPr>
        <w:t xml:space="preserve">المؤهل العلمي </w:t>
      </w:r>
      <w:proofErr w:type="spellStart"/>
      <w:r w:rsidRPr="001D08E8">
        <w:rPr>
          <w:rFonts w:hint="cs"/>
          <w:b/>
          <w:bCs/>
          <w:sz w:val="22"/>
          <w:szCs w:val="22"/>
          <w:rtl/>
        </w:rPr>
        <w:t>:</w:t>
      </w:r>
      <w:proofErr w:type="spellEnd"/>
      <w:r w:rsidRPr="001D08E8">
        <w:rPr>
          <w:rFonts w:hint="cs"/>
          <w:b/>
          <w:bCs/>
          <w:sz w:val="22"/>
          <w:szCs w:val="22"/>
          <w:rtl/>
        </w:rPr>
        <w:t xml:space="preserve"> </w:t>
      </w:r>
      <w:r w:rsidR="0004382E">
        <w:rPr>
          <w:rFonts w:hint="cs"/>
          <w:b/>
          <w:bCs/>
          <w:sz w:val="22"/>
          <w:szCs w:val="22"/>
          <w:rtl/>
        </w:rPr>
        <w:t xml:space="preserve">دكتوراه في علم الاجتماع </w:t>
      </w:r>
    </w:p>
    <w:p w:rsidR="008C1917" w:rsidRPr="001D08E8" w:rsidRDefault="008C1917" w:rsidP="008C1917">
      <w:pPr>
        <w:jc w:val="both"/>
        <w:outlineLvl w:val="0"/>
        <w:rPr>
          <w:b/>
          <w:bCs/>
          <w:sz w:val="22"/>
          <w:szCs w:val="22"/>
          <w:rtl/>
        </w:rPr>
      </w:pPr>
      <w:r w:rsidRPr="001D08E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</w:t>
      </w:r>
      <w:r w:rsidRPr="001D08E8">
        <w:rPr>
          <w:rFonts w:hint="cs"/>
          <w:b/>
          <w:bCs/>
          <w:sz w:val="22"/>
          <w:szCs w:val="22"/>
          <w:rtl/>
        </w:rPr>
        <w:t xml:space="preserve">مكان العمل </w:t>
      </w:r>
      <w:proofErr w:type="spellStart"/>
      <w:r w:rsidRPr="001D08E8">
        <w:rPr>
          <w:rFonts w:hint="cs"/>
          <w:b/>
          <w:bCs/>
          <w:sz w:val="22"/>
          <w:szCs w:val="22"/>
          <w:rtl/>
        </w:rPr>
        <w:t>:</w:t>
      </w:r>
      <w:proofErr w:type="spellEnd"/>
      <w:r w:rsidRPr="001D08E8">
        <w:rPr>
          <w:rFonts w:hint="cs"/>
          <w:b/>
          <w:bCs/>
          <w:sz w:val="22"/>
          <w:szCs w:val="22"/>
          <w:rtl/>
        </w:rPr>
        <w:t xml:space="preserve"> كلية القانون والعلوم السياسية</w:t>
      </w:r>
    </w:p>
    <w:p w:rsidR="008C1917" w:rsidRDefault="008C1917" w:rsidP="008C1917">
      <w:pPr>
        <w:jc w:val="both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_____________________________________________________________________</w:t>
      </w:r>
    </w:p>
    <w:p w:rsidR="001123BC" w:rsidRDefault="001123BC" w:rsidP="001123B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الاسبوعي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الاول</w:t>
      </w:r>
    </w:p>
    <w:p w:rsidR="001123BC" w:rsidRDefault="001123BC" w:rsidP="001123BC">
      <w:pPr>
        <w:bidi w:val="0"/>
        <w:jc w:val="center"/>
        <w:rPr>
          <w:rtl/>
          <w:lang w:bidi="ar-IQ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0"/>
        <w:gridCol w:w="5859"/>
        <w:gridCol w:w="1980"/>
        <w:gridCol w:w="666"/>
      </w:tblGrid>
      <w:tr w:rsidR="001123BC" w:rsidTr="006D6112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الماده العم</w:t>
            </w:r>
            <w:r>
              <w:rPr>
                <w:rFonts w:hint="cs"/>
                <w:b/>
                <w:bCs/>
                <w:rtl/>
              </w:rPr>
              <w:t>ل</w:t>
            </w: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ية</w:t>
            </w:r>
            <w:proofErr w:type="spellEnd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الماده النظرية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1123BC" w:rsidRDefault="001123BC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الاسبوع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التعريف بعلم الاجرام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21</w:t>
            </w:r>
            <w:r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/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9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25 /9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البحث العلمي للسلوك الاجرامي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28/9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2/10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اساليب البحث الفردية(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الانثروبولوجية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>)/المدرسة التكوينية التقليدية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5 /10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9/10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المدرسة التكوينية الحديثة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12/10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16/10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3363D" w:rsidRDefault="001972D7" w:rsidP="00011A63">
            <w:pPr>
              <w:spacing w:line="276" w:lineRule="auto"/>
              <w:rPr>
                <w:b/>
                <w:bCs/>
                <w:sz w:val="22"/>
                <w:szCs w:val="22"/>
                <w:lang w:bidi="ar-IQ"/>
              </w:rPr>
            </w:pPr>
            <w:r w:rsidRPr="00A3363D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المدرسه النفسية التقليدية /مدرسة التحليل النفسي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A3363D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/</w:t>
            </w:r>
            <w:proofErr w:type="spellEnd"/>
            <w:r w:rsidRPr="00A3363D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المدرسه النفسية الواقعية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19 /10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23/10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التفسير الاجتماعي للسلوك الاجرامي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26/10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30/10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التفسير التكاملي للسلوك الاجرامي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2/11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6/11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التفسير الاسلامي للسلوك الاجرامي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9/11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13</w:t>
            </w:r>
            <w:r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/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عوامل السلوك الاجرامي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16/11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20/11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الجنس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السن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23/11 -27/11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التكوين العضوي والنفسي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30/11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4/12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السلالة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السكر وإدمان المخدرات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7/12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11/12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العوامل الجغرافية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العوامل الاقتصادية /العوامل الثقافية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14/12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18/12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AB3E59" w:rsidRDefault="001972D7" w:rsidP="00011A63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التعريف بعلم العقاب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21/12 -25 /12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4455FB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علاقة علم العقاب بالسياسة الجزائية والعلوم الجنائية/القوانين </w:t>
            </w:r>
            <w:r w:rsidR="008B3E46">
              <w:rPr>
                <w:rFonts w:hint="cs"/>
                <w:b/>
                <w:bCs/>
                <w:rtl/>
                <w:lang w:bidi="ar-IQ"/>
              </w:rPr>
              <w:t xml:space="preserve">الخاصة بالتنفيذ العقابي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28/12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1/1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</w:tr>
      <w:tr w:rsidR="001972D7" w:rsidRPr="001D08E8" w:rsidTr="006D6112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7" w:rsidRDefault="001972D7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4455FB">
            <w:pPr>
              <w:rPr>
                <w:b/>
                <w:bCs/>
                <w:lang w:bidi="ar-IQ"/>
              </w:rPr>
            </w:pPr>
            <w:r w:rsidRPr="001D08E8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احتياط/مراجعة عامة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4 /1 </w:t>
            </w:r>
            <w:proofErr w:type="spellStart"/>
            <w:r w:rsidRPr="001D08E8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8/1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7" w:rsidRPr="001D08E8" w:rsidRDefault="001972D7" w:rsidP="001D08E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1D08E8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</w:tr>
      <w:tr w:rsidR="001972D7" w:rsidRPr="006D6112" w:rsidTr="00AB3E59">
        <w:trPr>
          <w:trHeight w:val="3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72D7" w:rsidRPr="00AB3E59" w:rsidRDefault="001972D7" w:rsidP="00AB3E59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AB3E59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عطلة نصف السنة</w:t>
            </w:r>
          </w:p>
        </w:tc>
      </w:tr>
    </w:tbl>
    <w:p w:rsidR="001123BC" w:rsidRDefault="001123BC" w:rsidP="001123BC">
      <w:pPr>
        <w:rPr>
          <w:rtl/>
          <w:lang w:bidi="ar-IQ"/>
        </w:rPr>
      </w:pPr>
    </w:p>
    <w:p w:rsidR="006D6112" w:rsidRDefault="006D6112" w:rsidP="001123BC">
      <w:pPr>
        <w:jc w:val="center"/>
        <w:rPr>
          <w:b/>
          <w:bCs/>
          <w:rtl/>
          <w:lang w:bidi="ar-SY"/>
        </w:rPr>
      </w:pPr>
    </w:p>
    <w:p w:rsidR="006D6112" w:rsidRDefault="006D6112" w:rsidP="001123BC">
      <w:pPr>
        <w:jc w:val="center"/>
        <w:rPr>
          <w:b/>
          <w:bCs/>
          <w:rtl/>
          <w:lang w:bidi="ar-SY"/>
        </w:rPr>
      </w:pPr>
    </w:p>
    <w:p w:rsidR="006D6112" w:rsidRDefault="006D6112" w:rsidP="001123BC">
      <w:pPr>
        <w:jc w:val="center"/>
        <w:rPr>
          <w:b/>
          <w:bCs/>
          <w:rtl/>
          <w:lang w:bidi="ar-SY"/>
        </w:rPr>
      </w:pPr>
    </w:p>
    <w:p w:rsidR="001123BC" w:rsidRDefault="0004382E" w:rsidP="0004382E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         </w:t>
      </w:r>
      <w:r w:rsidR="001123BC">
        <w:rPr>
          <w:rFonts w:hint="cs"/>
          <w:b/>
          <w:bCs/>
          <w:rtl/>
          <w:lang w:bidi="ar-SY"/>
        </w:rPr>
        <w:t xml:space="preserve">توقيع </w:t>
      </w:r>
      <w:r w:rsidR="006D6112">
        <w:rPr>
          <w:rFonts w:hint="cs"/>
          <w:b/>
          <w:bCs/>
          <w:rtl/>
          <w:lang w:bidi="ar-SY"/>
        </w:rPr>
        <w:t>ألأستاذ</w:t>
      </w:r>
      <w:r w:rsidR="001123BC">
        <w:rPr>
          <w:rFonts w:hint="cs"/>
          <w:b/>
          <w:bCs/>
          <w:rtl/>
          <w:lang w:bidi="ar-SY"/>
        </w:rPr>
        <w:t xml:space="preserve">                                                             </w:t>
      </w:r>
      <w:r>
        <w:rPr>
          <w:rFonts w:hint="cs"/>
          <w:b/>
          <w:bCs/>
          <w:rtl/>
          <w:lang w:bidi="ar-SY"/>
        </w:rPr>
        <w:t xml:space="preserve">                                                        </w:t>
      </w:r>
      <w:r w:rsidR="001123BC">
        <w:rPr>
          <w:rFonts w:hint="cs"/>
          <w:b/>
          <w:bCs/>
          <w:rtl/>
          <w:lang w:bidi="ar-SY"/>
        </w:rPr>
        <w:t>توقيع العميد:</w:t>
      </w:r>
    </w:p>
    <w:p w:rsidR="001123BC" w:rsidRDefault="0004382E" w:rsidP="001123BC">
      <w:pPr>
        <w:rPr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أ 0 م 0 د خليفة ابراهيم عودة التميمي                                                                                  أ 0 م 0 د خليفة ابراهيم عودة التميمي</w:t>
      </w:r>
    </w:p>
    <w:p w:rsidR="001123BC" w:rsidRDefault="001123BC" w:rsidP="001123BC">
      <w:pPr>
        <w:rPr>
          <w:rtl/>
          <w:lang w:bidi="ar-SY"/>
        </w:rPr>
      </w:pPr>
    </w:p>
    <w:p w:rsidR="001123BC" w:rsidRDefault="001123BC" w:rsidP="001123B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rtl/>
          <w:lang w:bidi="ar-SY"/>
        </w:rPr>
        <w:lastRenderedPageBreak/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</w:p>
    <w:p w:rsidR="001123BC" w:rsidRDefault="001123BC" w:rsidP="001123BC">
      <w:pPr>
        <w:rPr>
          <w:b/>
          <w:bCs/>
          <w:sz w:val="32"/>
          <w:szCs w:val="32"/>
          <w:rtl/>
          <w:lang w:bidi="ar-IQ"/>
        </w:rPr>
      </w:pPr>
    </w:p>
    <w:p w:rsidR="008C1917" w:rsidRPr="001123BC" w:rsidRDefault="00AB3E59" w:rsidP="008C1917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8C1917">
        <w:rPr>
          <w:rFonts w:hint="cs"/>
          <w:b/>
          <w:bCs/>
          <w:rtl/>
        </w:rPr>
        <w:t xml:space="preserve">       </w:t>
      </w:r>
      <w:r w:rsidR="008C1917" w:rsidRPr="001123BC">
        <w:rPr>
          <w:rFonts w:hint="cs"/>
          <w:b/>
          <w:bCs/>
          <w:rtl/>
        </w:rPr>
        <w:t>جمهورية العراق</w:t>
      </w:r>
      <w:r w:rsidR="008C1917">
        <w:rPr>
          <w:rFonts w:hint="cs"/>
          <w:b/>
          <w:bCs/>
          <w:rtl/>
        </w:rPr>
        <w:t xml:space="preserve">                                                                                                  اسم الجامعة </w:t>
      </w:r>
      <w:proofErr w:type="spellStart"/>
      <w:r w:rsidR="008C1917">
        <w:rPr>
          <w:rFonts w:hint="cs"/>
          <w:b/>
          <w:bCs/>
          <w:rtl/>
        </w:rPr>
        <w:t>:</w:t>
      </w:r>
      <w:proofErr w:type="spellEnd"/>
      <w:r w:rsidR="008C1917">
        <w:rPr>
          <w:rFonts w:hint="cs"/>
          <w:b/>
          <w:bCs/>
          <w:rtl/>
        </w:rPr>
        <w:t xml:space="preserve"> </w:t>
      </w:r>
      <w:proofErr w:type="spellStart"/>
      <w:r w:rsidR="008C1917">
        <w:rPr>
          <w:rFonts w:hint="cs"/>
          <w:b/>
          <w:bCs/>
          <w:rtl/>
        </w:rPr>
        <w:t>ديالى</w:t>
      </w:r>
      <w:proofErr w:type="spellEnd"/>
    </w:p>
    <w:p w:rsidR="008C1917" w:rsidRPr="001123BC" w:rsidRDefault="008C1917" w:rsidP="008C1917">
      <w:pPr>
        <w:jc w:val="both"/>
        <w:outlineLvl w:val="0"/>
        <w:rPr>
          <w:b/>
          <w:bCs/>
          <w:rtl/>
        </w:rPr>
      </w:pPr>
      <w:r w:rsidRPr="001123BC">
        <w:rPr>
          <w:rFonts w:hint="cs"/>
          <w:b/>
          <w:bCs/>
          <w:rtl/>
        </w:rPr>
        <w:t>وزارة التعليم العالي والبحث العلمي</w:t>
      </w:r>
      <w:r>
        <w:rPr>
          <w:rFonts w:hint="cs"/>
          <w:b/>
          <w:bCs/>
          <w:rtl/>
        </w:rPr>
        <w:t xml:space="preserve">                                                                                      اسم الكلية : القانون والعلوم السياسية</w:t>
      </w:r>
    </w:p>
    <w:p w:rsidR="008C1917" w:rsidRDefault="008C1917" w:rsidP="008C1917">
      <w:pPr>
        <w:jc w:val="both"/>
        <w:outlineLvl w:val="0"/>
        <w:rPr>
          <w:b/>
          <w:bCs/>
          <w:rtl/>
        </w:rPr>
      </w:pPr>
      <w:r w:rsidRPr="001123BC">
        <w:rPr>
          <w:rFonts w:hint="cs"/>
          <w:b/>
          <w:bCs/>
          <w:rtl/>
        </w:rPr>
        <w:t>جهاز الاشراف والتقويم العلمي</w:t>
      </w:r>
      <w:r>
        <w:rPr>
          <w:rFonts w:hint="cs"/>
          <w:b/>
          <w:bCs/>
          <w:rtl/>
        </w:rPr>
        <w:t xml:space="preserve">                                                                                           اسم القسم : القانون</w:t>
      </w:r>
    </w:p>
    <w:p w:rsidR="008C1917" w:rsidRDefault="008C1917" w:rsidP="0004382E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اسم المحاضر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r w:rsidR="0004382E">
        <w:rPr>
          <w:rFonts w:hint="cs"/>
          <w:b/>
          <w:bCs/>
          <w:sz w:val="22"/>
          <w:szCs w:val="22"/>
          <w:rtl/>
        </w:rPr>
        <w:t>خليفة ابراهيم عودة</w:t>
      </w:r>
      <w:r w:rsidR="0004382E" w:rsidRPr="001D08E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</w:t>
      </w:r>
      <w:r w:rsidR="0004382E">
        <w:rPr>
          <w:rFonts w:hint="cs"/>
          <w:b/>
          <w:bCs/>
          <w:sz w:val="22"/>
          <w:szCs w:val="22"/>
          <w:rtl/>
        </w:rPr>
        <w:t xml:space="preserve">                            </w:t>
      </w:r>
    </w:p>
    <w:p w:rsidR="008C1917" w:rsidRDefault="008C1917" w:rsidP="0004382E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اللقب العلمي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r w:rsidR="0004382E">
        <w:rPr>
          <w:rFonts w:hint="cs"/>
          <w:b/>
          <w:bCs/>
          <w:sz w:val="22"/>
          <w:szCs w:val="22"/>
          <w:rtl/>
        </w:rPr>
        <w:t xml:space="preserve">استاذ مساعد </w:t>
      </w:r>
      <w:r w:rsidR="0045332D">
        <w:rPr>
          <w:rFonts w:hint="cs"/>
          <w:b/>
          <w:bCs/>
          <w:rtl/>
        </w:rPr>
        <w:t>دكتور</w:t>
      </w:r>
    </w:p>
    <w:p w:rsidR="008C1917" w:rsidRDefault="008C1917" w:rsidP="0004382E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المؤهل العلمي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r w:rsidR="0004382E">
        <w:rPr>
          <w:rFonts w:hint="cs"/>
          <w:b/>
          <w:bCs/>
          <w:sz w:val="22"/>
          <w:szCs w:val="22"/>
          <w:rtl/>
        </w:rPr>
        <w:t xml:space="preserve">دكتوراه في علم الاجتماع </w:t>
      </w:r>
    </w:p>
    <w:p w:rsidR="008C1917" w:rsidRDefault="008C1917" w:rsidP="008C1917">
      <w:pPr>
        <w:jc w:val="both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مكان العمل : كلية القانون والعلوم السياسية</w:t>
      </w:r>
    </w:p>
    <w:p w:rsidR="008C1917" w:rsidRDefault="008C1917" w:rsidP="008C1917">
      <w:pPr>
        <w:jc w:val="both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_____________________________________________________________________</w:t>
      </w:r>
    </w:p>
    <w:p w:rsidR="008C1917" w:rsidRDefault="008C1917" w:rsidP="001123BC">
      <w:pPr>
        <w:rPr>
          <w:b/>
          <w:bCs/>
          <w:sz w:val="32"/>
          <w:szCs w:val="32"/>
          <w:rtl/>
          <w:lang w:bidi="ar-IQ"/>
        </w:rPr>
      </w:pPr>
    </w:p>
    <w:p w:rsidR="001123BC" w:rsidRDefault="001123BC" w:rsidP="001123BC">
      <w:pPr>
        <w:rPr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B3E59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</w:t>
      </w:r>
      <w:r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1123BC" w:rsidRDefault="001123BC" w:rsidP="001123BC">
      <w:pPr>
        <w:bidi w:val="0"/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933"/>
        <w:gridCol w:w="5717"/>
        <w:gridCol w:w="1980"/>
        <w:gridCol w:w="676"/>
      </w:tblGrid>
      <w:tr w:rsidR="001123BC" w:rsidTr="00AB3E59">
        <w:trPr>
          <w:cantSplit/>
          <w:trHeight w:val="113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spacing w:line="276" w:lineRule="auto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المادة العم</w:t>
            </w:r>
            <w:r>
              <w:rPr>
                <w:rFonts w:hint="cs"/>
                <w:b/>
                <w:bCs/>
                <w:rtl/>
              </w:rPr>
              <w:t>ل</w:t>
            </w: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ية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المادة النظرية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123BC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1123BC" w:rsidRDefault="001123BC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1123BC" w:rsidTr="00152B48">
        <w:trPr>
          <w:trHeight w:val="3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E27D67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التطور التاريخي للمؤسسات العقابية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15/2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19/2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</w:t>
            </w:r>
          </w:p>
        </w:tc>
      </w:tr>
      <w:tr w:rsidR="001123BC" w:rsidTr="00AB3E59">
        <w:trPr>
          <w:trHeight w:val="3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E27D67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نظام المؤسسات العقابية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22/2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26/2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المؤسسات العقابية المفتوحة /دور المؤسسات العقابية المفتوحة في تنفيذ الجزاءات الجنائية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31/3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5/3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3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دور المؤسسات العقابية في تنفيذ التدابير الاحترازية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8/3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12/3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4</w:t>
            </w:r>
          </w:p>
        </w:tc>
      </w:tr>
      <w:tr w:rsidR="001123BC" w:rsidTr="00AB3E59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3363D" w:rsidRDefault="008B3E46" w:rsidP="00A3363D">
            <w:pPr>
              <w:spacing w:line="276" w:lineRule="auto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اساليب المعاملة العقابية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15/3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19/3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5</w:t>
            </w:r>
          </w:p>
        </w:tc>
      </w:tr>
      <w:tr w:rsidR="001123BC" w:rsidTr="00AB3E59">
        <w:trPr>
          <w:trHeight w:val="3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الرعاية الصحية والعلاج الطبي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22/3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26/3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6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3363D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التعليم والتهذيب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29/3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7</w:t>
            </w:r>
          </w:p>
        </w:tc>
      </w:tr>
      <w:tr w:rsidR="001123BC" w:rsidTr="00152B48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3363D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العمل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5/4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9/4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8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الرعاية الاجتماعية واتصالات النزيل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12/4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16/4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9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النظام الانضباطي للنزلاء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19/4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23/4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10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نظام المكافئات 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الافراج الشرطي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26/4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30/4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11</w:t>
            </w:r>
          </w:p>
        </w:tc>
      </w:tr>
      <w:tr w:rsidR="001123BC" w:rsidTr="00152B48">
        <w:trPr>
          <w:trHeight w:val="31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ايقاف تنفيذ العقوبة /الاختبار القضائي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3/5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7/5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12</w:t>
            </w:r>
          </w:p>
        </w:tc>
      </w:tr>
      <w:tr w:rsidR="001123BC" w:rsidTr="00152B48">
        <w:trPr>
          <w:trHeight w:val="3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نظام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البارول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10/5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14/5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13</w:t>
            </w:r>
          </w:p>
        </w:tc>
      </w:tr>
      <w:tr w:rsidR="00AB3E59" w:rsidTr="00026241">
        <w:trPr>
          <w:trHeight w:val="4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59" w:rsidRDefault="00AB3E59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59" w:rsidRDefault="00AB3E59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9" w:rsidRPr="00AB3E59" w:rsidRDefault="008B3E46" w:rsidP="00AB3E59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صور الرعاية اللاحقة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59" w:rsidRPr="0006691E" w:rsidRDefault="00152B48" w:rsidP="000669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rtl/>
                <w:lang w:bidi="ar-IQ"/>
              </w:rPr>
            </w:pPr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17/5 </w:t>
            </w:r>
            <w:proofErr w:type="spellStart"/>
            <w:r w:rsidRPr="0006691E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IQ"/>
              </w:rPr>
              <w:t>–</w:t>
            </w:r>
            <w:proofErr w:type="spellEnd"/>
            <w:r w:rsidRPr="0006691E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 xml:space="preserve"> 21/5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59" w:rsidRPr="0006691E" w:rsidRDefault="00AB3E59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14</w:t>
            </w:r>
          </w:p>
        </w:tc>
      </w:tr>
      <w:tr w:rsidR="001123BC" w:rsidTr="00AB3E59">
        <w:trPr>
          <w:trHeight w:val="5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8B3E46" w:rsidP="00AB3E59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الاعداد للرعاية اللاحقة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BC" w:rsidRPr="0006691E" w:rsidRDefault="00152B48" w:rsidP="000669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6691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24/2 </w:t>
            </w:r>
            <w:proofErr w:type="spellStart"/>
            <w:r w:rsidRPr="0006691E">
              <w:rPr>
                <w:b/>
                <w:bCs/>
                <w:sz w:val="20"/>
                <w:szCs w:val="20"/>
                <w:rtl/>
                <w:lang w:bidi="ar-IQ"/>
              </w:rPr>
              <w:t>–</w:t>
            </w:r>
            <w:proofErr w:type="spellEnd"/>
            <w:r w:rsidRPr="0006691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28 /2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15</w:t>
            </w:r>
          </w:p>
        </w:tc>
      </w:tr>
      <w:tr w:rsidR="001123BC" w:rsidTr="00152B48">
        <w:trPr>
          <w:trHeight w:val="3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jc w:val="center"/>
              <w:rPr>
                <w:lang w:bidi="ar-S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Default="001123BC">
            <w:pPr>
              <w:bidi w:val="0"/>
              <w:spacing w:line="276" w:lineRule="auto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AB3E59" w:rsidRDefault="00152B48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مراجعة عامة واحتياط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BC" w:rsidRPr="0006691E" w:rsidRDefault="00152B48" w:rsidP="000669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6691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31/5 </w:t>
            </w:r>
            <w:proofErr w:type="spellStart"/>
            <w:r w:rsidRPr="0006691E">
              <w:rPr>
                <w:b/>
                <w:bCs/>
                <w:sz w:val="20"/>
                <w:szCs w:val="20"/>
                <w:rtl/>
                <w:lang w:bidi="ar-IQ"/>
              </w:rPr>
              <w:t>–</w:t>
            </w:r>
            <w:proofErr w:type="spellEnd"/>
            <w:r w:rsidRPr="0006691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4/6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C" w:rsidRPr="0006691E" w:rsidRDefault="001123BC">
            <w:pPr>
              <w:bidi w:val="0"/>
              <w:spacing w:line="276" w:lineRule="auto"/>
              <w:jc w:val="center"/>
              <w:rPr>
                <w:b/>
                <w:bCs/>
                <w:lang w:bidi="ar-SY"/>
              </w:rPr>
            </w:pPr>
            <w:r w:rsidRPr="0006691E">
              <w:rPr>
                <w:rFonts w:hint="cs"/>
                <w:b/>
                <w:bCs/>
                <w:rtl/>
                <w:lang w:bidi="ar-SY"/>
              </w:rPr>
              <w:t>16</w:t>
            </w:r>
          </w:p>
        </w:tc>
      </w:tr>
    </w:tbl>
    <w:p w:rsidR="001123BC" w:rsidRDefault="001123BC" w:rsidP="001123BC">
      <w:pPr>
        <w:rPr>
          <w:rtl/>
          <w:lang w:bidi="ar-IQ"/>
        </w:rPr>
      </w:pPr>
    </w:p>
    <w:p w:rsidR="00EA43BE" w:rsidRDefault="00EA43BE" w:rsidP="001123BC">
      <w:pPr>
        <w:jc w:val="center"/>
        <w:rPr>
          <w:b/>
          <w:bCs/>
          <w:rtl/>
          <w:lang w:bidi="ar-SY"/>
        </w:rPr>
      </w:pPr>
    </w:p>
    <w:p w:rsidR="00EA43BE" w:rsidRDefault="00EA43BE" w:rsidP="001123BC">
      <w:pPr>
        <w:jc w:val="center"/>
        <w:rPr>
          <w:b/>
          <w:bCs/>
          <w:rtl/>
          <w:lang w:bidi="ar-SY"/>
        </w:rPr>
      </w:pPr>
    </w:p>
    <w:p w:rsidR="00EA43BE" w:rsidRDefault="00EA43BE" w:rsidP="001123BC">
      <w:pPr>
        <w:jc w:val="center"/>
        <w:rPr>
          <w:b/>
          <w:bCs/>
          <w:rtl/>
          <w:lang w:bidi="ar-SY"/>
        </w:rPr>
      </w:pPr>
    </w:p>
    <w:p w:rsidR="00EA43BE" w:rsidRDefault="00EA43BE" w:rsidP="001123BC">
      <w:pPr>
        <w:jc w:val="center"/>
        <w:rPr>
          <w:b/>
          <w:bCs/>
          <w:rtl/>
          <w:lang w:bidi="ar-SY"/>
        </w:rPr>
      </w:pPr>
    </w:p>
    <w:p w:rsidR="00EA43BE" w:rsidRDefault="00EA43BE" w:rsidP="001123BC">
      <w:pPr>
        <w:jc w:val="center"/>
        <w:rPr>
          <w:b/>
          <w:bCs/>
          <w:rtl/>
          <w:lang w:bidi="ar-SY"/>
        </w:rPr>
      </w:pPr>
    </w:p>
    <w:p w:rsidR="00EA43BE" w:rsidRDefault="00EA43BE" w:rsidP="00EA43BE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     </w:t>
      </w:r>
      <w:r w:rsidR="001123BC">
        <w:rPr>
          <w:rFonts w:hint="cs"/>
          <w:b/>
          <w:bCs/>
          <w:rtl/>
          <w:lang w:bidi="ar-SY"/>
        </w:rPr>
        <w:t>توقيع الأستاذ</w:t>
      </w:r>
      <w:r w:rsidR="00AB3E59">
        <w:rPr>
          <w:rFonts w:hint="cs"/>
          <w:b/>
          <w:bCs/>
          <w:rtl/>
          <w:lang w:bidi="ar-SY"/>
        </w:rPr>
        <w:t xml:space="preserve"> </w:t>
      </w:r>
      <w:r w:rsidR="001123BC">
        <w:rPr>
          <w:rFonts w:hint="cs"/>
          <w:b/>
          <w:bCs/>
          <w:rtl/>
          <w:lang w:bidi="ar-SY"/>
        </w:rPr>
        <w:t xml:space="preserve">:  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توقيع العميد:</w:t>
      </w:r>
      <w:r w:rsidR="001123BC">
        <w:rPr>
          <w:rFonts w:hint="cs"/>
          <w:b/>
          <w:bCs/>
          <w:rtl/>
          <w:lang w:bidi="ar-SY"/>
        </w:rPr>
        <w:t xml:space="preserve"> </w:t>
      </w:r>
    </w:p>
    <w:p w:rsidR="001123BC" w:rsidRDefault="00EA43BE" w:rsidP="0004382E">
      <w:pPr>
        <w:rPr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</w:t>
      </w:r>
      <w:r w:rsidR="0004382E">
        <w:rPr>
          <w:rFonts w:hint="cs"/>
          <w:b/>
          <w:bCs/>
          <w:rtl/>
          <w:lang w:bidi="ar-SY"/>
        </w:rPr>
        <w:t>أ 0 م 0 د خليفة ابراهيم عودة التميمي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</w:t>
      </w:r>
      <w:r w:rsidR="0004382E">
        <w:rPr>
          <w:rFonts w:hint="cs"/>
          <w:b/>
          <w:bCs/>
          <w:rtl/>
          <w:lang w:bidi="ar-SY"/>
        </w:rPr>
        <w:t xml:space="preserve">                    </w:t>
      </w:r>
      <w:r>
        <w:rPr>
          <w:rFonts w:hint="cs"/>
          <w:b/>
          <w:bCs/>
          <w:rtl/>
          <w:lang w:bidi="ar-SY"/>
        </w:rPr>
        <w:t xml:space="preserve"> أ 0 م 0 د خليفة ابراهيم عودة التميمي </w:t>
      </w:r>
      <w:r w:rsidR="001123BC">
        <w:rPr>
          <w:rFonts w:hint="cs"/>
          <w:b/>
          <w:bCs/>
          <w:rtl/>
          <w:lang w:bidi="ar-SY"/>
        </w:rPr>
        <w:t xml:space="preserve">                                                         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</w:t>
      </w:r>
    </w:p>
    <w:p w:rsidR="001123BC" w:rsidRDefault="001123BC" w:rsidP="001123BC">
      <w:pPr>
        <w:tabs>
          <w:tab w:val="left" w:pos="7738"/>
        </w:tabs>
        <w:rPr>
          <w:rtl/>
          <w:lang w:bidi="ar-SY"/>
        </w:rPr>
      </w:pPr>
    </w:p>
    <w:p w:rsidR="001123BC" w:rsidRDefault="001123BC" w:rsidP="001123BC">
      <w:pPr>
        <w:tabs>
          <w:tab w:val="left" w:pos="7738"/>
        </w:tabs>
        <w:rPr>
          <w:rtl/>
          <w:lang w:bidi="ar-SY"/>
        </w:rPr>
      </w:pPr>
    </w:p>
    <w:p w:rsidR="001123BC" w:rsidRDefault="001123BC" w:rsidP="001123BC">
      <w:pPr>
        <w:tabs>
          <w:tab w:val="left" w:pos="7738"/>
        </w:tabs>
        <w:rPr>
          <w:rtl/>
          <w:lang w:bidi="ar-SY"/>
        </w:rPr>
      </w:pPr>
    </w:p>
    <w:p w:rsidR="001123BC" w:rsidRDefault="001123BC" w:rsidP="001123BC">
      <w:pPr>
        <w:tabs>
          <w:tab w:val="left" w:pos="7738"/>
        </w:tabs>
        <w:rPr>
          <w:rtl/>
          <w:lang w:bidi="ar-SY"/>
        </w:rPr>
      </w:pPr>
    </w:p>
    <w:p w:rsidR="001123BC" w:rsidRDefault="001123BC" w:rsidP="001123BC">
      <w:pPr>
        <w:tabs>
          <w:tab w:val="left" w:pos="7738"/>
        </w:tabs>
        <w:rPr>
          <w:rtl/>
          <w:lang w:bidi="ar-SY"/>
        </w:rPr>
      </w:pPr>
    </w:p>
    <w:p w:rsidR="001123BC" w:rsidRDefault="001123BC" w:rsidP="001123BC">
      <w:pPr>
        <w:tabs>
          <w:tab w:val="left" w:pos="7738"/>
        </w:tabs>
        <w:rPr>
          <w:rtl/>
          <w:lang w:bidi="ar-SY"/>
        </w:rPr>
      </w:pPr>
    </w:p>
    <w:p w:rsidR="00847E83" w:rsidRDefault="00847E83">
      <w:pPr>
        <w:rPr>
          <w:lang w:bidi="ar-IQ"/>
        </w:rPr>
      </w:pPr>
    </w:p>
    <w:sectPr w:rsidR="00847E83" w:rsidSect="001123BC">
      <w:pgSz w:w="11906" w:h="16838"/>
      <w:pgMar w:top="284" w:right="282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2D67"/>
    <w:multiLevelType w:val="hybridMultilevel"/>
    <w:tmpl w:val="BD340BB4"/>
    <w:lvl w:ilvl="0" w:tplc="66229460">
      <w:start w:val="1"/>
      <w:numFmt w:val="decimal"/>
      <w:lvlText w:val="%1-"/>
      <w:lvlJc w:val="left"/>
      <w:pPr>
        <w:tabs>
          <w:tab w:val="num" w:pos="3630"/>
        </w:tabs>
        <w:ind w:left="3630" w:hanging="32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3BC"/>
    <w:rsid w:val="0004382E"/>
    <w:rsid w:val="0006691E"/>
    <w:rsid w:val="00070920"/>
    <w:rsid w:val="001123BC"/>
    <w:rsid w:val="00152B48"/>
    <w:rsid w:val="001972D7"/>
    <w:rsid w:val="001D08E8"/>
    <w:rsid w:val="0045332D"/>
    <w:rsid w:val="00663EF5"/>
    <w:rsid w:val="0066615C"/>
    <w:rsid w:val="00687A45"/>
    <w:rsid w:val="006D6112"/>
    <w:rsid w:val="00760713"/>
    <w:rsid w:val="00847E83"/>
    <w:rsid w:val="008B3E46"/>
    <w:rsid w:val="008C1917"/>
    <w:rsid w:val="00A3363D"/>
    <w:rsid w:val="00AB3E59"/>
    <w:rsid w:val="00C91A51"/>
    <w:rsid w:val="00E27D67"/>
    <w:rsid w:val="00EA43BE"/>
    <w:rsid w:val="00F00D22"/>
    <w:rsid w:val="00F778E2"/>
    <w:rsid w:val="00F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2E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3B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23B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23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87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AF2C-C58C-491A-AC98-B68D611E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2014-11-17T18:25:00Z</dcterms:created>
  <dcterms:modified xsi:type="dcterms:W3CDTF">2014-11-22T12:56:00Z</dcterms:modified>
</cp:coreProperties>
</file>